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11 368 vom 1. Februar 2012</w:t>
      </w:r>
    </w:p>
    <w:p>
      <w:r>
        <w:t>BL Gerichte, 2012-02-01, DE</w:t>
      </w:r>
    </w:p>
    <w:p>
      <w:r>
        <w:rPr>
          <w:b/>
        </w:rPr>
        <w:t xml:space="preserve">Quelle: </w:t>
      </w:r>
      <w:r>
        <w:t>https://mcp.opencaselaw.ch/entscheid/bl_gerichte_810 11 368</w:t>
      </w:r>
    </w:p>
    <w:p>
      <w:r>
        <w:t>FR: BL_GERICHTE 810 11 368 du 1 février 2012</w:t>
      </w:r>
    </w:p>
    <w:p>
      <w:r>
        <w:t>IT: BL_GERICHTE 810 11 368 del 1 febbraio 2012</w:t>
      </w:r>
    </w:p>
    <w:p>
      <w:pPr>
        <w:pStyle w:val="Heading2"/>
      </w:pPr>
      <w:r>
        <w:t>Regeste</w:t>
      </w:r>
    </w:p>
    <w:p>
      <w:r>
        <w:t>Erlöschen der Niederlassungsbewilligungen (RRB Nr. 1412 vom 18. Oktober 2011)</w:t>
      </w:r>
    </w:p>
    <w:p>
      <w:pPr>
        <w:pStyle w:val="Heading2"/>
      </w:pPr>
      <w:r>
        <w:t>Erwägungen</w:t>
      </w:r>
    </w:p>
    <w:p>
      <w:r>
        <w:rPr>
          <w:b/>
        </w:rPr>
        <w:t>E. 2</w:t>
      </w:r>
    </w:p>
    <w:p>
      <w:r>
        <w:t>Bei der Beurteilung der vorliegenden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vorinstanzlichen Entscheides dagegen ist dem Kantonsgericht verwehrt (§ 45 lit. c VPO e contrario). 3.1 Das AuG gilt für Ausländerinnen und Ausländer, soweit keine anderen Bestimmungen des Bundesrechts oder von der Schweiz abgeschlossene völkerrechtliche Verträge zur Anwendung gelangen (Art. 2 Abs. 1 AuG). Vorweg kann festgehalten werden, dass zwischen der Schweiz und dem Kosovo kein Staatsvertrag besteht, der den Beschwerdeführern einen Anspruch auf Anwesenheit in der Schweiz gewähren würde. 3.2 Gemäss den Art. 20-25 AuG ist eine ausländische Person zur Anwesenheit in der Schweiz nur berechtigt, wenn sie eine Aufenthalts- oder Niederlassungsbewilligung besitzt oder wenn sie nach diesem Gesetz keiner solchen bedarf (vgl. auch Art. 2 AuG). Nach Art. 61 Abs. 1 AuG erlischt eine Bewilligung mit der Abmeldung ins Ausland (lit. a), mit der Erteilung einer Bewilligung in einem anderen Kanton (lit. b), mit Ablauf der Gültigkeitsdauer der Bewilligung sowie mit der Ausweisung nach Art. 68 AuG (lit. d). Im Sinne von Art. 61 Abs. 2 AuG erlischt die Kurzaufenthaltsbewilligung nach drei Monaten, die Aufenthalts- und Niederlassungsbewilligung nach sechs Monaten, wenn die ausländische Person die Schweiz verlässt, ohne sich abzumelden. Auf Gesuch hin kann die Niederlassungsbewilligung während vier Jahren aufrechterhalten werden. 3.3 Das Erlöschen der Bewilligung aufgrund eines sechsmonatigen Aufenthaltes im Ausland ist ein formales Kriterium (vgl. BGE 120 Ib 372). Nicht massgeblich ist somit, ob der Lebensmittelpunkt in der Schweiz faktisch aufgegeben oder ob im Ausland ein neuer Wohnsitz begründet wurde (vgl. BGE 112 Ib 2). Auch das unfreiwillige Verweilen im Ausland, z.B. aus gesundheitlichen Gründen oder wegen Freiheitsentzugs, hat deshalb das Erlöschen der Bewilligung zur Folge. Umgekehrt lässt die Verlegung des Lebensmittelpunkts ins Ausland die Bewilligung nicht erlöschen, wenn sich der Ausländer vor Ablauf von sechs Monaten eines anderen besinnt und in die Schweiz zurückkehrt. Es genügt zur Beibehaltung der Bewilligung allerdings nicht, vor Ablauf der sechs Monate kurz in die Schweiz zurückzukehren und wieder auszureisen. Die sechsmonatige Frist wird durch vorübergehende Besuchs-, Tourismus- oder Geschäftsaufenthalte nicht unterbrochen (Art. 79 Abs. 1 VZAE), wenn der Lebensmittelpunkt ins Ausland verlegt worden ist und eine definitive Rückkehr in die Schweiz vor Fristablauf nicht erfolgt (vgl. Urteil des Bundesgerichts vom 29. August 2003, 2A.380/2003). Insoweit kommt die Rechtsprechung doch nicht darum herum, den Mittelpunkt der Lebensverhältnisse in die Beurteilung miteinzubeziehen (vgl. Urteil 8. Mai 2006, 2A.31/2006, E. 3, wo die Frage nach dem Lebensmittelpunkt bei den gegebenen Verhältnissen ─ nämlich wiederholte längere Aufenthalte im Heimatland über mehrere Jahre hinweg, unterbrochen durch mehr oder weniger lange Aufenthalte in der Schweiz ─ geradezu zum ausschlaggebenden Kriterium wurde; vgl. zum Ganzen Andreas Zünd / Ladina Arquint Hill , in: Uebersax/Rudin/Hugi Yar/Geiser [Hrsg.], Ausländerrecht, Basel 2009, N 8.9, S. 316 f.).</w:t>
      </w:r>
    </w:p>
    <w:p>
      <w:r>
        <w:rPr>
          <w:b/>
        </w:rPr>
        <w:t>E. 4</w:t>
      </w:r>
    </w:p>
    <w:p>
      <w:r>
        <w:t>Vorliegend sind die Beschwerdeführer im Juli 2009 nach Belgien gereist, ohne sich abzumelden. Im Januar 2010 sind sie gemeinsam mit dem Ehemann der Beschwerdeführerin wieder in die Schweiz zurückgekehrt, haben die Schweiz allerdings innert Tagesfrist wieder gemeinsam verlassen. Im September 2010 kehrte die Familie von Belgien bzw. Frankreich erneut in die Schweiz zurück und stellte am 14. September 2010 ein Asylgesuch. Damit waren im September 2010 14 Monate seit der Abreise der Beschwerdeführer ohne Abmeldung vergangen. Nach sechs Monaten erlöschen Niederlassungsbewilligungen jedoch von Gesetzes wegen. Selbst wenn man den Kurzbesuch im Januar 2010 als neuen Ausgangspunkt für die Berechnung ansetzen würde, wäre diese Dauer überschritten. Die Beschwerdeführer haben auch kein Verlängerungsgesuch gestellt, um ein Erlöschen der Niederlassungsbewilligungen zu verhindern. Diese sind somit von Gesetzes wegen erloschen. 5.1 Zu prüfen ist im Weiteren, ob der Regierungsrat zu Recht davon ausgegangen ist, dass die Beschwerdeführer keinen Anspruch auf Erteilung einer Aufenthaltsbewilligung haben. 5.2 Wie bereits ausgeführt, haben die Beschwerdeführer im September 2010 ein Asylverfahren eingeleitet. 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Nach Art. 14 Abs. 2 AsylG kann der Kanton mit Zustimmung des Bundesamtes einer ihm nach diesem Gesetz zugewiesenen Person eine Aufenthaltsbewilligung erteilen, wenn sich die betroffene Person seit Einreichung des Asylgesuches mindestens fünf Jahre in der Schweiz aufhält (lit. a); der Aufenthaltsort der betroffenen Person den Behörden immer bekannt war (lit. b) und wegen der fortgeschrittenen Integration ein schwerwiegender persönlicher Härtefall vorliegt (lit. c).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 5.3 Gestützt darauf kann vom Zeitpunkt der Einreichung eines Asylgesuchs bis zur Ausreise nach seiner rechtskräftigen Ablehnung oder der Anordnung einer Ersatzmassnahme bei nicht durchführbarem Vollzug kein Verfahren um Erteilung einer fremdenpolizeilichen Bewilligung eingeleitet werden. Dieser als Ausschliesslichkeit bzw. Vorrang des Asylverfahrens bezeichnete Grundsatz gilt nicht, wenn auf die Bewilligung ein Anspruch besteht (vgl. Urteil des Bundesgerichts vom 30. Juni 2005, 2A.8/2005 E. 1.1). Art. 14 AsylG will das Asylverfahren beschleunigen und den abgewiesenen Gesuchsteller möglichst rasch zur Ausreise anhalten. Die Regelung soll verhindern, dass Asylsuchende (künftig) das Asylverfahren verschleppen oder eine drohende Wegweisung hinauszögern, indem sie nach dem negativen Asylentscheid zusätzlich um eine fremdenpolizeiliche Aufenthaltsbewilligung nachsuchen. Nur wenn offensichtlich ein grundsätzlicher Anspruch auf die beantragte Bewilligung besteht, hindert Art. 14 AsylG - als Ausnahme vom Grundsatz der Ausschliesslichkeit des Asylverfahrens - die kantonalen Behörden nicht daran, sofort ein fremdenpolizeiliches Verfahren zu eröffnen (vgl. Urteil des Bundesgerichts vom 30. Juni 2005, 2A.8/2005 E. 3.1). 5.4 Es stellt sich die Frage, ob die Beschwerdeführer im vorliegenden Fall während des hängigen Asylverfahrens ein fremdenpolizeiliches Verfahren um Erteilung einer Aufenthaltsbewilligung einleiten können. Dabei ist zu prüfen, ob sie sich grundsätzlich auf einen Anspruch im Sinne von Art. 14 Abs. 1 AsylG berufen können. 5.5 Der Regierungsrat hat zu Recht einen Anspruch der Beschwerdeführer gestützt auf Art. 8 EMRK verneint. Der Ehemann der Beschwerdeführerin ist ein aus der Schweiz rechtskräftig weggewiesener Ausländer. Er besitzt somit kein gefestigtes Anwesenheitsrecht in der Schweiz auf welche sich die Beschwerdeführer im Rahmen von Art. 8 EMRK stützen könnten. Weitere Anspruchsgrundlagen für die Erteilung einer Aufenthaltsbewilligung sind nicht ersichtlich. Die Beschwerdeführer können sich somit nicht auf einen Anspruch auf Erteilung einer Aufenthaltsbewilligung berufen, der es ihnen gestatten würde, ein fremdenpolizeiliches Verfahren während des hängigen Asylverfahrens einzuleiten. Die Zuständigkeit für eine allfällige Wegweisung der Beschwerdeführer liegt damit bei den Asylbehörden.</w:t>
      </w:r>
    </w:p>
    <w:p>
      <w:r>
        <w:rPr>
          <w:b/>
        </w:rPr>
        <w:t>E. 6</w:t>
      </w:r>
    </w:p>
    <w:p>
      <w:r>
        <w:t>Demgemäss hat der Regierungsrat zu Recht das Erlöschen der Niederlassungsbewilligungen der Beschwerdeführer festgestellt und entschieden, dass sie keinen Anspruch auf eine Aufenthaltsbewilligung haben. Die Beschwerde ist demnach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Beschwerdeführern aufzuerlegen. Zufolge Bewilligung der unentgeltlichen Rechtshilfe gehen die Verfahrenskosten zu Lasten des Staates. Die ausserordentlichen Kosten sind gemäss § 21 Abs. 1 VPO wettzuschlagen. Demgemäss wird e r k a n n t : 1. Die Beschwerde wird abgewiesen. 2. Die Verfahrenskosten in Höhe von Fr. 1'400.-- werden den Beschwerdeführern auferlegt. Zufolge Bewilligung der unentgeltlichen Rechtspflege gehen die Verfahrenskosten zu Lasten des Staates.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